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D17DA1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89942FC" w:rsidR="00F92268" w:rsidRPr="00FF66BF" w:rsidRDefault="00165CC3" w:rsidP="00D17DA1">
            <w:pPr>
              <w:pStyle w:val="RefTableData"/>
            </w:pPr>
            <w:r w:rsidRPr="00165CC3">
              <w:t>2029-A</w:t>
            </w:r>
          </w:p>
        </w:tc>
      </w:tr>
    </w:tbl>
    <w:p w14:paraId="74FBA5B4" w14:textId="77777777" w:rsidR="00051356" w:rsidRPr="00044833" w:rsidRDefault="00051356" w:rsidP="00A672B3">
      <w:pPr>
        <w:pStyle w:val="BodyText"/>
        <w:rPr>
          <w:sz w:val="16"/>
          <w:szCs w:val="16"/>
        </w:rPr>
        <w:sectPr w:rsidR="00051356" w:rsidRPr="00044833" w:rsidSect="00BC1EB3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07D13AA" w:rsidR="004B15BB" w:rsidRPr="00BD1CC1" w:rsidRDefault="009E5C96" w:rsidP="007E5C16">
      <w:pPr>
        <w:pStyle w:val="Heading1"/>
      </w:pPr>
      <w:r w:rsidRPr="009E5C96">
        <w:t>Specialty Guideline Management</w:t>
      </w:r>
      <w:r>
        <w:br/>
      </w:r>
      <w:r w:rsidRPr="009E5C96">
        <w:t>Ocaliva</w:t>
      </w:r>
    </w:p>
    <w:p w14:paraId="78861C92" w14:textId="31B3F5D1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15600A4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338FE">
        <w:t>Over-the-counter (</w:t>
      </w:r>
      <w:r w:rsidRPr="00BD1CC1">
        <w:t>OTC</w:t>
      </w:r>
      <w:r w:rsidR="00F338F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66BE1F7" w:rsidR="00585FFF" w:rsidRPr="00BD1CC1" w:rsidRDefault="009E5C96" w:rsidP="00E82ABA">
            <w:pPr>
              <w:pStyle w:val="TableDataUnpadded"/>
            </w:pPr>
            <w:r w:rsidRPr="009E5C96">
              <w:t>Ocaliva</w:t>
            </w:r>
          </w:p>
        </w:tc>
        <w:tc>
          <w:tcPr>
            <w:tcW w:w="5595" w:type="dxa"/>
          </w:tcPr>
          <w:p w14:paraId="7E26A004" w14:textId="60F01C01" w:rsidR="00585FFF" w:rsidRPr="00BD1CC1" w:rsidRDefault="009E5C96" w:rsidP="00E82ABA">
            <w:pPr>
              <w:pStyle w:val="TableDataUnpadded"/>
            </w:pPr>
            <w:r w:rsidRPr="009E5C96">
              <w:t>obeticholic acid</w:t>
            </w:r>
          </w:p>
        </w:tc>
      </w:tr>
    </w:tbl>
    <w:bookmarkEnd w:id="0"/>
    <w:p w14:paraId="14CE6108" w14:textId="63D23397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BE2ACC7" w14:textId="638B9389" w:rsidR="009E5C96" w:rsidRPr="009E5C96" w:rsidRDefault="009E5C96" w:rsidP="009E5C96">
      <w:r w:rsidRPr="009E5C9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F4B3B5A" w:rsidR="00ED052F" w:rsidRPr="009E5C96" w:rsidRDefault="00ED052F" w:rsidP="00ED052F">
      <w:pPr>
        <w:pStyle w:val="Heading3"/>
        <w:keepNext w:val="0"/>
      </w:pPr>
      <w:r w:rsidRPr="00BD1CC1">
        <w:t>FDA-approved Indications</w:t>
      </w:r>
      <w:r w:rsidR="009E5C96" w:rsidRPr="009E5C96">
        <w:rPr>
          <w:vertAlign w:val="superscript"/>
        </w:rPr>
        <w:t>1</w:t>
      </w:r>
    </w:p>
    <w:p w14:paraId="2A3D6105" w14:textId="77777777" w:rsidR="009E5C96" w:rsidRDefault="009E5C96" w:rsidP="00D17DA1">
      <w:pPr>
        <w:pStyle w:val="BodyText"/>
      </w:pPr>
      <w:r>
        <w:t>Ocaliva is indicated for the treatment of adult patients with primary biliary cholangitis (PBC):</w:t>
      </w:r>
    </w:p>
    <w:p w14:paraId="0FBFD22A" w14:textId="374ECEBA" w:rsidR="009E5C96" w:rsidRPr="009E5C96" w:rsidRDefault="009E5C96" w:rsidP="009E5C96">
      <w:pPr>
        <w:pStyle w:val="ListParagraph"/>
        <w:numPr>
          <w:ilvl w:val="0"/>
          <w:numId w:val="28"/>
        </w:numPr>
        <w:contextualSpacing w:val="0"/>
      </w:pPr>
      <w:r w:rsidRPr="009E5C96">
        <w:t>without cirrhosis or</w:t>
      </w:r>
    </w:p>
    <w:p w14:paraId="4CEE4476" w14:textId="7F4CBABC" w:rsidR="009E5C96" w:rsidRPr="009E5C96" w:rsidRDefault="009E5C96" w:rsidP="009E5C96">
      <w:pPr>
        <w:pStyle w:val="ListParagraph"/>
        <w:numPr>
          <w:ilvl w:val="0"/>
          <w:numId w:val="28"/>
        </w:numPr>
        <w:contextualSpacing w:val="0"/>
      </w:pPr>
      <w:r w:rsidRPr="009E5C96">
        <w:t>with compensated cirrhosis who do not have evidence of portal hypertension,</w:t>
      </w:r>
    </w:p>
    <w:p w14:paraId="3710D7D4" w14:textId="6BC54D57" w:rsidR="009E5C96" w:rsidRDefault="009E5C96" w:rsidP="00D17DA1">
      <w:pPr>
        <w:pStyle w:val="BodyText"/>
      </w:pPr>
      <w:r>
        <w:t xml:space="preserve">either in combination </w:t>
      </w:r>
      <w:r w:rsidRPr="00D17DA1">
        <w:t>with</w:t>
      </w:r>
      <w:r>
        <w:t xml:space="preserve"> ursodeoxycholic acid (UDCA) with an inadequate response to UDCA, or as monotherapy in patients unable to tolerate UDCA.</w:t>
      </w:r>
    </w:p>
    <w:p w14:paraId="4156A07E" w14:textId="77777777" w:rsidR="009E5C96" w:rsidRDefault="009E5C96" w:rsidP="00D17DA1">
      <w:pPr>
        <w:pStyle w:val="BodyText"/>
      </w:pPr>
      <w:r>
        <w:t>This indication is approved under accelerated approval based on a reduction in alkaline phosphatase (ALP). An improvement in survival or disease-related symptoms has not been established. Continued approval for this indication may be contingent upon verification and description of clinical benefit in confirmatory trials.</w:t>
      </w:r>
    </w:p>
    <w:p w14:paraId="14B2C6D8" w14:textId="4A6060ED" w:rsidR="009E5C96" w:rsidRPr="009E5C96" w:rsidRDefault="009E5C96" w:rsidP="00D17DA1">
      <w:pPr>
        <w:pStyle w:val="BodyText"/>
      </w:pPr>
      <w:r>
        <w:t>All other indications are considered experimental/investigational and not medically necessary.</w:t>
      </w:r>
    </w:p>
    <w:p w14:paraId="36381B6D" w14:textId="1A5981B0" w:rsidR="000D2496" w:rsidRDefault="000D2496" w:rsidP="00165CC3">
      <w:pPr>
        <w:pStyle w:val="Heading2"/>
        <w:tabs>
          <w:tab w:val="left" w:pos="9260"/>
        </w:tabs>
      </w:pPr>
      <w:r w:rsidRPr="00BD1CC1">
        <w:lastRenderedPageBreak/>
        <w:t>Documentation</w:t>
      </w:r>
    </w:p>
    <w:p w14:paraId="202B0D08" w14:textId="77777777" w:rsidR="009E5C96" w:rsidRDefault="009E5C96" w:rsidP="00D17DA1">
      <w:pPr>
        <w:pStyle w:val="BodyText"/>
      </w:pPr>
      <w:r>
        <w:t>Submission of the following information is necessary to initiate the prior authorization review:</w:t>
      </w:r>
    </w:p>
    <w:p w14:paraId="2E9FB4F6" w14:textId="6EC5A195" w:rsidR="009E5C96" w:rsidRPr="009E5C96" w:rsidRDefault="009E5C96" w:rsidP="009E5C96">
      <w:pPr>
        <w:pStyle w:val="ListParagraph"/>
        <w:numPr>
          <w:ilvl w:val="0"/>
          <w:numId w:val="30"/>
        </w:numPr>
        <w:contextualSpacing w:val="0"/>
      </w:pPr>
      <w:r w:rsidRPr="009E5C96">
        <w:t>For initial requests: Pretreatment serum alkaline phosphatase (ALP) level</w:t>
      </w:r>
    </w:p>
    <w:p w14:paraId="2D23AB8C" w14:textId="53E81CD5" w:rsidR="009E5C96" w:rsidRPr="009E5C96" w:rsidRDefault="009E5C96" w:rsidP="009E5C96">
      <w:pPr>
        <w:pStyle w:val="ListParagraph"/>
        <w:numPr>
          <w:ilvl w:val="0"/>
          <w:numId w:val="30"/>
        </w:numPr>
        <w:contextualSpacing w:val="0"/>
      </w:pPr>
      <w:r w:rsidRPr="009E5C96">
        <w:t>For continuation of therapy: Current serum alkaline phosphatase (ALP) and/or current total bilirubin level</w:t>
      </w:r>
    </w:p>
    <w:p w14:paraId="65A12794" w14:textId="5FDF3F67" w:rsidR="000D5101" w:rsidRDefault="004715CD" w:rsidP="00E050E1">
      <w:pPr>
        <w:pStyle w:val="Heading2"/>
      </w:pPr>
      <w:r w:rsidRPr="00BD1CC1">
        <w:t>Exclusions</w:t>
      </w:r>
    </w:p>
    <w:p w14:paraId="2C1C4AFF" w14:textId="77777777" w:rsidR="009E5C96" w:rsidRDefault="009E5C96" w:rsidP="00D17DA1">
      <w:pPr>
        <w:pStyle w:val="BodyText"/>
      </w:pPr>
      <w:r>
        <w:t>Coverage will not be provided for members with either of the following exclusions:</w:t>
      </w:r>
    </w:p>
    <w:p w14:paraId="5475D361" w14:textId="427C5A3C" w:rsidR="009E5C96" w:rsidRPr="009E5C96" w:rsidRDefault="009E5C96" w:rsidP="009E5C96">
      <w:pPr>
        <w:pStyle w:val="ListParagraph"/>
        <w:numPr>
          <w:ilvl w:val="0"/>
          <w:numId w:val="32"/>
        </w:numPr>
        <w:contextualSpacing w:val="0"/>
      </w:pPr>
      <w:r w:rsidRPr="009E5C96">
        <w:t>Member has decompensated cirrhosis (e.g., Child-Pugh Class B or C) or a prior decompensation event</w:t>
      </w:r>
    </w:p>
    <w:p w14:paraId="428B344B" w14:textId="7C17446F" w:rsidR="009E5C96" w:rsidRPr="009E5C96" w:rsidRDefault="009E5C96" w:rsidP="009E5C96">
      <w:pPr>
        <w:pStyle w:val="ListParagraph"/>
        <w:numPr>
          <w:ilvl w:val="0"/>
          <w:numId w:val="32"/>
        </w:numPr>
        <w:contextualSpacing w:val="0"/>
      </w:pPr>
      <w:r w:rsidRPr="009E5C96">
        <w:t>Member has compensated cirrhosis with evidence of portal hypertension (e.g., ascites, gastroesophageal varices, persistent thrombocytopenia).</w:t>
      </w:r>
    </w:p>
    <w:p w14:paraId="59A502B7" w14:textId="5AF1D68D" w:rsidR="008F479A" w:rsidRDefault="008F479A" w:rsidP="00E050E1">
      <w:pPr>
        <w:pStyle w:val="Heading2"/>
      </w:pPr>
      <w:r>
        <w:t>Prescriber Specialties</w:t>
      </w:r>
    </w:p>
    <w:p w14:paraId="30958723" w14:textId="51B2EC21" w:rsidR="008F479A" w:rsidRPr="008F479A" w:rsidRDefault="008F479A" w:rsidP="00AC225C">
      <w:pPr>
        <w:pStyle w:val="BodyText"/>
      </w:pPr>
      <w:r>
        <w:t xml:space="preserve">This medication must be prescribed by or in consultation with a </w:t>
      </w:r>
      <w:proofErr w:type="spellStart"/>
      <w:r>
        <w:t>heptaologist</w:t>
      </w:r>
      <w:proofErr w:type="spellEnd"/>
      <w:r>
        <w:t xml:space="preserve"> or gastroenterologist.</w:t>
      </w:r>
    </w:p>
    <w:p w14:paraId="50A38FBA" w14:textId="1CB4A830" w:rsidR="00FE0C63" w:rsidRDefault="00685107" w:rsidP="00E050E1">
      <w:pPr>
        <w:pStyle w:val="Heading2"/>
      </w:pPr>
      <w:r>
        <w:t>Coverage Criteria</w:t>
      </w:r>
    </w:p>
    <w:p w14:paraId="0022A021" w14:textId="3210AD45" w:rsidR="009E5C96" w:rsidRDefault="009E5C96" w:rsidP="009E5C96">
      <w:pPr>
        <w:pStyle w:val="Heading3"/>
      </w:pPr>
      <w:r>
        <w:t>Primary biliary cholangitis (PBC) (previously known as primary biliary cirrhosis)</w:t>
      </w:r>
      <w:r w:rsidRPr="009E5C96">
        <w:rPr>
          <w:vertAlign w:val="superscript"/>
        </w:rPr>
        <w:t>1-3</w:t>
      </w:r>
    </w:p>
    <w:p w14:paraId="4B65C9BC" w14:textId="604D5D0B" w:rsidR="009E5C96" w:rsidRDefault="009E5C96" w:rsidP="00D17DA1">
      <w:pPr>
        <w:pStyle w:val="BodyText"/>
      </w:pPr>
      <w:r>
        <w:t xml:space="preserve">Authorization of </w:t>
      </w:r>
      <w:r w:rsidR="00355CB9">
        <w:t>12</w:t>
      </w:r>
      <w:r>
        <w:t xml:space="preserve"> months may be granted for treatment of PBC in adult members when all of the following criteria are met:</w:t>
      </w:r>
    </w:p>
    <w:p w14:paraId="1AF91089" w14:textId="467F320F" w:rsidR="009E5C96" w:rsidRDefault="009E5C96" w:rsidP="009E5C96">
      <w:pPr>
        <w:pStyle w:val="ListParagraph"/>
        <w:numPr>
          <w:ilvl w:val="0"/>
          <w:numId w:val="34"/>
        </w:numPr>
        <w:contextualSpacing w:val="0"/>
      </w:pPr>
      <w:r>
        <w:t>Diagnosis of PBC is confirmed by at least two of the following criteria:</w:t>
      </w:r>
    </w:p>
    <w:p w14:paraId="5FFC1476" w14:textId="0D31A2EC" w:rsidR="009E5C96" w:rsidRDefault="009E5C96" w:rsidP="009E5C96">
      <w:pPr>
        <w:pStyle w:val="ListParagraph"/>
        <w:numPr>
          <w:ilvl w:val="1"/>
          <w:numId w:val="36"/>
        </w:numPr>
        <w:contextualSpacing w:val="0"/>
      </w:pPr>
      <w:r>
        <w:t>Biochemical evidence of cholestasis with elevation of alkaline phosphatase (ALP) level for at least 6 months duration</w:t>
      </w:r>
    </w:p>
    <w:p w14:paraId="64A9D1A6" w14:textId="6C8F5AF8" w:rsidR="009E5C96" w:rsidRDefault="009E5C96" w:rsidP="009E5C96">
      <w:pPr>
        <w:pStyle w:val="ListParagraph"/>
        <w:numPr>
          <w:ilvl w:val="1"/>
          <w:numId w:val="36"/>
        </w:numPr>
        <w:contextualSpacing w:val="0"/>
      </w:pPr>
      <w:r>
        <w:t xml:space="preserve">Presence of antimitochondrial antibodies (AMA) (titer &gt;1:40 by immunofluorescence or </w:t>
      </w:r>
      <w:proofErr w:type="spellStart"/>
      <w:r>
        <w:t>immunoenzymatic</w:t>
      </w:r>
      <w:proofErr w:type="spellEnd"/>
      <w:r>
        <w:t xml:space="preserve"> reactivity) or PBC-specific antinuclear antibodies (ANA) (e.g., anti-gp210, anti-sp100)</w:t>
      </w:r>
      <w:r w:rsidR="00374979">
        <w:t>.</w:t>
      </w:r>
    </w:p>
    <w:p w14:paraId="61DCC4E3" w14:textId="3FBE224B" w:rsidR="009E5C96" w:rsidRDefault="009E5C96" w:rsidP="009E5C96">
      <w:pPr>
        <w:pStyle w:val="ListParagraph"/>
        <w:numPr>
          <w:ilvl w:val="1"/>
          <w:numId w:val="36"/>
        </w:numPr>
        <w:contextualSpacing w:val="0"/>
      </w:pPr>
      <w:r>
        <w:t>Histologic evidence of PBC on liver biopsy (e.g., non-suppurative inflammation and destruction of interlobular and septal bile ducts)</w:t>
      </w:r>
    </w:p>
    <w:p w14:paraId="6D7A34C5" w14:textId="48ADF321" w:rsidR="009E5C96" w:rsidRDefault="009E5C96" w:rsidP="009E5C96">
      <w:pPr>
        <w:pStyle w:val="ListParagraph"/>
        <w:numPr>
          <w:ilvl w:val="0"/>
          <w:numId w:val="34"/>
        </w:numPr>
        <w:contextualSpacing w:val="0"/>
      </w:pPr>
      <w:r>
        <w:t>Member has an elevated serum ALP level prior to initiation of therapy with the requested drug</w:t>
      </w:r>
    </w:p>
    <w:p w14:paraId="04475086" w14:textId="59590A5A" w:rsidR="009E5C96" w:rsidRDefault="009E5C96" w:rsidP="009E5C96">
      <w:pPr>
        <w:pStyle w:val="ListParagraph"/>
        <w:numPr>
          <w:ilvl w:val="0"/>
          <w:numId w:val="34"/>
        </w:numPr>
        <w:contextualSpacing w:val="0"/>
      </w:pPr>
      <w:r>
        <w:lastRenderedPageBreak/>
        <w:t>Member meets either of the following criteria:</w:t>
      </w:r>
    </w:p>
    <w:p w14:paraId="43E19FB3" w14:textId="77777777" w:rsidR="00D17DA1" w:rsidRDefault="009E5C96" w:rsidP="009E5C96">
      <w:pPr>
        <w:pStyle w:val="ListParagraph"/>
        <w:numPr>
          <w:ilvl w:val="1"/>
          <w:numId w:val="37"/>
        </w:numPr>
        <w:contextualSpacing w:val="0"/>
      </w:pPr>
      <w:r>
        <w:t>Member has had an inadequate response to at least 12 months of prior therapy with ursodeoxycholic acid (UDCA)/ursodiol and the member will continue concomitant therapy with UDCA/ursodiol</w:t>
      </w:r>
    </w:p>
    <w:p w14:paraId="06C41458" w14:textId="77777777" w:rsidR="00165CC3" w:rsidRDefault="009E5C96" w:rsidP="009E5C96">
      <w:pPr>
        <w:pStyle w:val="ListParagraph"/>
        <w:numPr>
          <w:ilvl w:val="1"/>
          <w:numId w:val="37"/>
        </w:numPr>
        <w:contextualSpacing w:val="0"/>
      </w:pPr>
      <w:r>
        <w:t>Member has an intolerance to UDCA/ursodiol</w:t>
      </w:r>
    </w:p>
    <w:p w14:paraId="3A643EC3" w14:textId="6A5B88B6" w:rsidR="00A501AC" w:rsidRDefault="00A501AC" w:rsidP="00A501AC">
      <w:pPr>
        <w:pStyle w:val="Heading2"/>
      </w:pPr>
      <w:r w:rsidRPr="00BD1CC1">
        <w:t>Continuation of Therapy</w:t>
      </w:r>
    </w:p>
    <w:p w14:paraId="19B8311C" w14:textId="729B27AA" w:rsidR="009E5C96" w:rsidRDefault="009E5C96" w:rsidP="00D17DA1">
      <w:pPr>
        <w:pStyle w:val="BodyText"/>
      </w:pPr>
      <w:r w:rsidRPr="009E5C96">
        <w:t xml:space="preserve">Authorization of 12 months may be granted for members who have achieved or maintained a clinical benefit from Ocaliva therapy </w:t>
      </w:r>
      <w:r w:rsidR="00F92484" w:rsidRPr="00F92484">
        <w:t>as evidenced by any of the following:</w:t>
      </w:r>
    </w:p>
    <w:p w14:paraId="2A4F52EE" w14:textId="77777777" w:rsidR="00A57D78" w:rsidRDefault="00A57D78" w:rsidP="00A57D78">
      <w:pPr>
        <w:pStyle w:val="ListParagraph"/>
      </w:pPr>
      <w:r w:rsidRPr="00A57D78">
        <w:t>At least a 15% reduction in serum ALP level</w:t>
      </w:r>
    </w:p>
    <w:p w14:paraId="3A25FA10" w14:textId="77777777" w:rsidR="00A57D78" w:rsidRDefault="00A57D78" w:rsidP="00A57D78">
      <w:pPr>
        <w:pStyle w:val="ListParagraph"/>
      </w:pPr>
      <w:r w:rsidRPr="00A57D78">
        <w:t>Serum ALP level less than 1.67 times upper limit of normal (ULN)</w:t>
      </w:r>
    </w:p>
    <w:p w14:paraId="25D31EB0" w14:textId="08EAFE2F" w:rsidR="00CB3433" w:rsidRPr="00A57D78" w:rsidRDefault="00A57D78" w:rsidP="00AC225C">
      <w:pPr>
        <w:pStyle w:val="ListParagraph"/>
      </w:pPr>
      <w:r w:rsidRPr="00A57D78">
        <w:t>Total bilirubin less than or equal to ULN</w:t>
      </w:r>
    </w:p>
    <w:p w14:paraId="10DA4309" w14:textId="5BCC6069" w:rsidR="00FF66BF" w:rsidRDefault="00FF66BF" w:rsidP="00FF66BF">
      <w:pPr>
        <w:pStyle w:val="Heading2"/>
      </w:pPr>
      <w:r w:rsidRPr="008D1B34">
        <w:t>References</w:t>
      </w:r>
    </w:p>
    <w:p w14:paraId="2784D9D0" w14:textId="181596A1" w:rsidR="009E5C96" w:rsidRPr="00D17DA1" w:rsidRDefault="009E5C96" w:rsidP="00D17DA1">
      <w:pPr>
        <w:pStyle w:val="ReferenceOrdered"/>
      </w:pPr>
      <w:r w:rsidRPr="00D17DA1">
        <w:t>Ocaliva [package insert]. Morristown, NJ: Intercept Pharmaceuticals, Inc.; May 2022.</w:t>
      </w:r>
    </w:p>
    <w:p w14:paraId="2EA4CBDE" w14:textId="0E13BB9B" w:rsidR="009E5C96" w:rsidRPr="00D17DA1" w:rsidRDefault="009E5C96" w:rsidP="00D17DA1">
      <w:pPr>
        <w:pStyle w:val="ReferenceOrdered"/>
      </w:pPr>
      <w:r w:rsidRPr="00D17DA1">
        <w:t xml:space="preserve">Lindor KD, </w:t>
      </w:r>
      <w:proofErr w:type="spellStart"/>
      <w:r w:rsidR="00DD6467" w:rsidRPr="00DD6467">
        <w:t>Bowlus</w:t>
      </w:r>
      <w:proofErr w:type="spellEnd"/>
      <w:r w:rsidR="00DD6467" w:rsidRPr="00DD6467">
        <w:t xml:space="preserve"> CL, Boyer J,</w:t>
      </w:r>
      <w:r w:rsidRPr="00D17DA1">
        <w:t xml:space="preserve"> et al. Primary biliary </w:t>
      </w:r>
      <w:r w:rsidR="007A6F6F" w:rsidRPr="007A6F6F">
        <w:t>cholangitis: 2018 Practice guidance from the American Association for the study of liver diseases.</w:t>
      </w:r>
      <w:r w:rsidRPr="00D17DA1">
        <w:t xml:space="preserve"> Hepatology. </w:t>
      </w:r>
      <w:r w:rsidR="00F5054B" w:rsidRPr="00F5054B">
        <w:t>2019;69(1):394-419</w:t>
      </w:r>
      <w:r w:rsidRPr="00D17DA1">
        <w:t>.</w:t>
      </w:r>
    </w:p>
    <w:p w14:paraId="3C586219" w14:textId="713D6B1C" w:rsidR="009E5C96" w:rsidRPr="00D17DA1" w:rsidRDefault="009E5C96" w:rsidP="00D17DA1">
      <w:pPr>
        <w:pStyle w:val="ReferenceOrdered"/>
      </w:pPr>
      <w:r w:rsidRPr="00D17DA1">
        <w:t xml:space="preserve">European Association for the Study of the Liver. EASL clinical practice guidelines: </w:t>
      </w:r>
      <w:r w:rsidR="00944D6C" w:rsidRPr="00944D6C">
        <w:t>The diagnosis and management of patients with primary biliary cholangitis.</w:t>
      </w:r>
      <w:r w:rsidRPr="00D17DA1">
        <w:t>. J Hepatol. 2017;67</w:t>
      </w:r>
      <w:r w:rsidR="00AC5277">
        <w:t>(</w:t>
      </w:r>
      <w:r w:rsidRPr="00D17DA1">
        <w:t>1</w:t>
      </w:r>
      <w:r w:rsidR="00AD1243">
        <w:t>)</w:t>
      </w:r>
      <w:r w:rsidR="00AC5277">
        <w:t>:</w:t>
      </w:r>
      <w:r w:rsidR="00080100">
        <w:t>1</w:t>
      </w:r>
      <w:r w:rsidRPr="00D17DA1">
        <w:t>45-172.</w:t>
      </w:r>
    </w:p>
    <w:sectPr w:rsidR="009E5C96" w:rsidRPr="00D17DA1" w:rsidSect="00BC1EB3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5018C" w14:textId="77777777" w:rsidR="00A45066" w:rsidRDefault="00A45066">
      <w:r>
        <w:separator/>
      </w:r>
    </w:p>
  </w:endnote>
  <w:endnote w:type="continuationSeparator" w:id="0">
    <w:p w14:paraId="50EA4C65" w14:textId="77777777" w:rsidR="00A45066" w:rsidRDefault="00A45066">
      <w:r>
        <w:continuationSeparator/>
      </w:r>
    </w:p>
  </w:endnote>
  <w:endnote w:type="continuationNotice" w:id="1">
    <w:p w14:paraId="5523C448" w14:textId="77777777" w:rsidR="00A45066" w:rsidRDefault="00A45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67A94A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32413" w:rsidRPr="00332413">
      <w:rPr>
        <w:rFonts w:cs="Arial"/>
        <w:noProof/>
        <w:sz w:val="16"/>
        <w:szCs w:val="16"/>
      </w:rPr>
      <w:t>Ocaliva</w:t>
    </w:r>
    <w:r w:rsidR="00332413">
      <w:rPr>
        <w:rFonts w:cs="Arial"/>
        <w:noProof/>
        <w:snapToGrid w:val="0"/>
        <w:color w:val="000000"/>
        <w:sz w:val="16"/>
        <w:szCs w:val="16"/>
      </w:rPr>
      <w:t xml:space="preserve"> SGM 2029-A</w:t>
    </w:r>
    <w:r w:rsidR="00332413" w:rsidRPr="00332413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344AD4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B05161" w:rsidR="00F75C81" w:rsidRPr="00AA1E6A" w:rsidRDefault="00C36B72" w:rsidP="00AC22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EABF5C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32413" w:rsidRPr="00332413">
      <w:rPr>
        <w:rFonts w:cs="Arial"/>
        <w:noProof/>
        <w:sz w:val="16"/>
        <w:szCs w:val="16"/>
      </w:rPr>
      <w:t>Ocaliva</w:t>
    </w:r>
    <w:r w:rsidR="00332413">
      <w:rPr>
        <w:rFonts w:cs="Arial"/>
        <w:noProof/>
        <w:snapToGrid w:val="0"/>
        <w:color w:val="000000"/>
        <w:sz w:val="16"/>
        <w:szCs w:val="16"/>
      </w:rPr>
      <w:t xml:space="preserve"> SGM 2029-A</w:t>
    </w:r>
    <w:r w:rsidR="00332413" w:rsidRPr="00332413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BAF93C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F068822" w:rsidR="00ED04EC" w:rsidRPr="00F50D98" w:rsidRDefault="00F50D98" w:rsidP="00AC22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5CE3" w14:textId="43CD7B65" w:rsidR="00165CC3" w:rsidRPr="00F50D98" w:rsidRDefault="00165CC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07FF" w14:textId="77777777" w:rsidR="00A45066" w:rsidRDefault="00A45066">
      <w:r>
        <w:separator/>
      </w:r>
    </w:p>
  </w:footnote>
  <w:footnote w:type="continuationSeparator" w:id="0">
    <w:p w14:paraId="4F465B5F" w14:textId="77777777" w:rsidR="00A45066" w:rsidRDefault="00A45066">
      <w:r>
        <w:continuationSeparator/>
      </w:r>
    </w:p>
  </w:footnote>
  <w:footnote w:type="continuationNotice" w:id="1">
    <w:p w14:paraId="100603D3" w14:textId="77777777" w:rsidR="00A45066" w:rsidRDefault="00A450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D17DA1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357620E" w:rsidR="00ED04EC" w:rsidRPr="004C7F1D" w:rsidRDefault="00165CC3" w:rsidP="00D17DA1">
          <w:pPr>
            <w:pStyle w:val="RefTableData"/>
          </w:pPr>
          <w:r w:rsidRPr="00165CC3">
            <w:t>2029-A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65CC3" w:rsidRPr="00AA1E6A" w14:paraId="1A0648EE" w14:textId="77777777" w:rsidTr="00D75FF4">
      <w:trPr>
        <w:trHeight w:val="144"/>
        <w:jc w:val="right"/>
      </w:trPr>
      <w:tc>
        <w:tcPr>
          <w:tcW w:w="1854" w:type="dxa"/>
          <w:hideMark/>
        </w:tcPr>
        <w:p w14:paraId="0FC1D49D" w14:textId="77777777" w:rsidR="00165CC3" w:rsidRPr="00AA1E6A" w:rsidRDefault="00165CC3" w:rsidP="00D17DA1">
          <w:pPr>
            <w:pStyle w:val="RefTableData"/>
          </w:pPr>
          <w:r w:rsidRPr="00AA1E6A">
            <w:t>Reference number(s)</w:t>
          </w:r>
        </w:p>
      </w:tc>
    </w:tr>
    <w:tr w:rsidR="00165CC3" w:rsidRPr="004C7F1D" w14:paraId="73DAD787" w14:textId="77777777" w:rsidTr="00D75FF4">
      <w:trPr>
        <w:trHeight w:val="378"/>
        <w:jc w:val="right"/>
      </w:trPr>
      <w:tc>
        <w:tcPr>
          <w:tcW w:w="1854" w:type="dxa"/>
          <w:hideMark/>
        </w:tcPr>
        <w:p w14:paraId="7E288748" w14:textId="77777777" w:rsidR="00165CC3" w:rsidRPr="004C7F1D" w:rsidRDefault="00165CC3" w:rsidP="00D17DA1">
          <w:pPr>
            <w:pStyle w:val="RefTableData"/>
          </w:pPr>
          <w:r w:rsidRPr="00165CC3">
            <w:t>2029-A</w:t>
          </w:r>
        </w:p>
      </w:tc>
    </w:tr>
  </w:tbl>
  <w:p w14:paraId="4476770C" w14:textId="77777777" w:rsidR="00165CC3" w:rsidRPr="00165CC3" w:rsidRDefault="00165CC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F55C1"/>
    <w:multiLevelType w:val="hybridMultilevel"/>
    <w:tmpl w:val="171A7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5D7E8C"/>
    <w:multiLevelType w:val="hybridMultilevel"/>
    <w:tmpl w:val="2E283CC0"/>
    <w:lvl w:ilvl="0" w:tplc="D30606C0">
      <w:start w:val="4"/>
      <w:numFmt w:val="bullet"/>
      <w:lvlText w:val="•"/>
      <w:lvlJc w:val="left"/>
      <w:pPr>
        <w:ind w:left="1080" w:hanging="720"/>
      </w:pPr>
      <w:rPr>
        <w:rFonts w:ascii="CVS Health Sans" w:eastAsia="Times New Roman" w:hAnsi="CVS Health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9D0241"/>
    <w:multiLevelType w:val="hybridMultilevel"/>
    <w:tmpl w:val="679A1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DFD38F2"/>
    <w:multiLevelType w:val="hybridMultilevel"/>
    <w:tmpl w:val="12C0BCC8"/>
    <w:lvl w:ilvl="0" w:tplc="F76481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9822AF"/>
    <w:multiLevelType w:val="hybridMultilevel"/>
    <w:tmpl w:val="BF442A62"/>
    <w:lvl w:ilvl="0" w:tplc="28882E6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F1009"/>
    <w:multiLevelType w:val="hybridMultilevel"/>
    <w:tmpl w:val="B622C42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021648"/>
    <w:multiLevelType w:val="hybridMultilevel"/>
    <w:tmpl w:val="44EEC9D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13B26"/>
    <w:multiLevelType w:val="hybridMultilevel"/>
    <w:tmpl w:val="D87CA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3779D"/>
    <w:multiLevelType w:val="hybridMultilevel"/>
    <w:tmpl w:val="05586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C1EAE"/>
    <w:multiLevelType w:val="hybridMultilevel"/>
    <w:tmpl w:val="4B3E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F5047"/>
    <w:multiLevelType w:val="hybridMultilevel"/>
    <w:tmpl w:val="E6BAEBA8"/>
    <w:lvl w:ilvl="0" w:tplc="DF6EF85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2BF831F0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E63C2"/>
    <w:multiLevelType w:val="hybridMultilevel"/>
    <w:tmpl w:val="B004F53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37C7D"/>
    <w:multiLevelType w:val="hybridMultilevel"/>
    <w:tmpl w:val="FD904630"/>
    <w:lvl w:ilvl="0" w:tplc="2A2AD9B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2"/>
  </w:num>
  <w:num w:numId="2" w16cid:durableId="606935877">
    <w:abstractNumId w:val="35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37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8"/>
  </w:num>
  <w:num w:numId="22" w16cid:durableId="1472481103">
    <w:abstractNumId w:val="32"/>
  </w:num>
  <w:num w:numId="23" w16cid:durableId="1997420403">
    <w:abstractNumId w:val="36"/>
  </w:num>
  <w:num w:numId="24" w16cid:durableId="33312838">
    <w:abstractNumId w:val="31"/>
  </w:num>
  <w:num w:numId="25" w16cid:durableId="507404939">
    <w:abstractNumId w:val="21"/>
  </w:num>
  <w:num w:numId="26" w16cid:durableId="1950313333">
    <w:abstractNumId w:val="26"/>
  </w:num>
  <w:num w:numId="27" w16cid:durableId="1866016584">
    <w:abstractNumId w:val="24"/>
  </w:num>
  <w:num w:numId="28" w16cid:durableId="822771148">
    <w:abstractNumId w:val="25"/>
  </w:num>
  <w:num w:numId="29" w16cid:durableId="503203430">
    <w:abstractNumId w:val="14"/>
  </w:num>
  <w:num w:numId="30" w16cid:durableId="1079640072">
    <w:abstractNumId w:val="29"/>
  </w:num>
  <w:num w:numId="31" w16cid:durableId="1139568864">
    <w:abstractNumId w:val="19"/>
  </w:num>
  <w:num w:numId="32" w16cid:durableId="685324255">
    <w:abstractNumId w:val="15"/>
  </w:num>
  <w:num w:numId="33" w16cid:durableId="905065925">
    <w:abstractNumId w:val="39"/>
  </w:num>
  <w:num w:numId="34" w16cid:durableId="1413506176">
    <w:abstractNumId w:val="27"/>
  </w:num>
  <w:num w:numId="35" w16cid:durableId="1476027905">
    <w:abstractNumId w:val="33"/>
  </w:num>
  <w:num w:numId="36" w16cid:durableId="71390007">
    <w:abstractNumId w:val="23"/>
  </w:num>
  <w:num w:numId="37" w16cid:durableId="1586567538">
    <w:abstractNumId w:val="20"/>
  </w:num>
  <w:num w:numId="38" w16cid:durableId="2143688014">
    <w:abstractNumId w:val="10"/>
  </w:num>
  <w:num w:numId="39" w16cid:durableId="1393041706">
    <w:abstractNumId w:val="17"/>
  </w:num>
  <w:num w:numId="40" w16cid:durableId="1124538957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4833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100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5CC3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2413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CB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979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38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6F6F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E77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524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79A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4D6C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64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5C96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4D1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066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57D78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25C"/>
    <w:rsid w:val="00AC2831"/>
    <w:rsid w:val="00AC2C91"/>
    <w:rsid w:val="00AC2FF1"/>
    <w:rsid w:val="00AC3092"/>
    <w:rsid w:val="00AC319E"/>
    <w:rsid w:val="00AC3729"/>
    <w:rsid w:val="00AC3ACD"/>
    <w:rsid w:val="00AC5277"/>
    <w:rsid w:val="00AC5988"/>
    <w:rsid w:val="00AC6DB3"/>
    <w:rsid w:val="00AC7B9C"/>
    <w:rsid w:val="00AD04FE"/>
    <w:rsid w:val="00AD1243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EB3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0DAB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433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17DA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274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467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38FE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54B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484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1628-AF5C-4FA4-A1EC-219C8E602AF8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573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Ocaliva 2029-A SGM 2024</vt:lpstr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Ocaliva SGM 2029-A</dc:title>
  <dc:subject>Ocaliva SGM 2029-A</dc:subject>
  <dc:creator>CVS Caremark</dc:creator>
  <cp:keywords/>
  <cp:lastModifiedBy>Ortiz, Erica M</cp:lastModifiedBy>
  <cp:revision>3</cp:revision>
  <cp:lastPrinted>2018-01-09T05:01:00Z</cp:lastPrinted>
  <dcterms:created xsi:type="dcterms:W3CDTF">2025-03-10T18:09:00Z</dcterms:created>
  <dcterms:modified xsi:type="dcterms:W3CDTF">2025-03-10T18:11:00Z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834600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